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Grade ≥ 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443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Parameter Description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Visit Name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 Units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Reference Range Indicator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Change from Baseline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ADLB records with CTCAE Grade ≥ 3 (ATOXGRN ≥ 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Parameter, Date.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WHERE ATOXGRN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2026-07-19T18:12:33Z</dcterms:modified>
  <cp:category/>
</cp:coreProperties>
</file>