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Endocrine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Neurologic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Dermatologic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the PD-1 inhibitor class (Protocol §7.4).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driven by sponsor AESI MedDRA codelist (raw/codelists/aesi_meddra_pts.csv; 56 PTs across 12 categories).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rule per PT: most PTs are AESI at any grade; selected lab/symptom PTs require Grade&gt;=3 (e.g. ALT/AST, AKI, rash, diarrhoea, pruritus); IRR requires Grade&gt;=2.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is counted once per category regardless of multiple occurrences.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INNER JOIN raw/codelists/aesi_meddra_pts.csv.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2026-07-19T18:11:33Z</dcterms:modified>
  <cp:category/>
</cp:coreProperties>
</file>