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1632"/>
        <w:gridCol w:w="1632"/>
        <w:gridCol w:w="163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(N=449)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 deaths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(77.2)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311 (69.3)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Death on study (within 30 days of last dose)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(71.4)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277 (61.7)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Death &gt; 30 days after last dose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Primary cause of death (all deaths)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(19.6)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(16.9)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(48.2)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 (44.8)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UNKNOWN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(3.8)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causes of death from SDTM.DD (one record per deceased subject).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On-study = death ≤ 30 days after TRTEDT; late = death &gt; 30 days after TRTEDT.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+ datasets/sdtm/dd.parquet.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2026-07-19T18:11:33Z</dcterms:modified>
  <cp:category/>
</cp:coreProperties>
</file>