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T-CM-01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Concomitant Medications by Indication Class and Preferred Term (≥5%)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6048"/>
        <w:gridCol w:w="2016"/>
        <w:gridCol w:w="2016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Depression / anxiety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122 (54.2)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118 (52.7)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ESCITALOPRAM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(32.9)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(29.0)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SERTRALINE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(29.8)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(32.1)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Diabetes mellitus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124 (55.1)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125 (55.8)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INSULIN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(34.8)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METFORMIN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(34.8)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Hyperlipidaemia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133 (59.1)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121 (54.0)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ATORVASTATIN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(33.3)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(30.8)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SIMVASTATIN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(33.3)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Infection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151 (67.1)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148 (66.1)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AMOXICILLIN/CLAVULANATE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(35.1)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(32.6)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AMOXICILLIN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(29.3)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(32.1)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LEVOFLOXACIN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(26.3)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Nausea and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TROPISETRON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METOCLOPRAMIDE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(48.2)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GRANISETRON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(50.0)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ONDANSETRON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(49.3)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SUBSEQUENT ANTI-CANCER 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39 (17.3)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40 (17.9)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PEMBROLIZUMAB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DOCETAXEL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preferred terms with on-treatment incidence ≥ 5% in either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Class grouping uses ADCM.CMINDC (curated indication class from the ATC lookup).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On-treatment = ADCM.ONTRTFL='Y' (medication period overlaps TRTSDT..TRTEDT).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datasets/adam/adcm.parquet WHERE ONTRTFL='Y'.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2026-07-19T18:12:38Z</dcterms:modified>
  <cp:category/>
</cp:coreProperties>
</file>