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T-DM-01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Demographic and Baseline Characteristics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1920"/>
        <w:gridCol w:w="1920"/>
        <w:gridCol w:w="192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Characteristic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Age (years)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63.0 (11.2)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63.1 (10.7)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63.1 (10.9)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63.0 (45.0, 82.0)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62.0 (45.0, 82.0)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63.0 (45.0, 82.0)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&lt; 65,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246 (54.7)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≥ 65,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(45.3)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(45.3)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204 (45.3)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Sex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Female,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Male,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Race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White,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 (50.7)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124 (55.1)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238 (52.9)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Asian,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(28.4)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(24.0)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 (26.2)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Black or African American,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(10.2)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American Indian or Alaska Native,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Other,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Unknown,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Region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North America,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Europe,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Asia-Pacific,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South America,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Histology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Non-squamous,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(66.2)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152 (67.6)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 (66.9)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Squamous,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(32.4)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(33.1)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ECOG performance status at baseline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0,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(21.8)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(22.2)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(22.0)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1,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(60.0)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124 (55.1)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259 (57.6)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2,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(18.2)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(22.7)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(20.4)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PD-L1 TPS category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High &gt;=50%,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(31.6)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(31.1)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 (31.3)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Medium 1-49%,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 (62.7)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(65.8)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289 (64.2)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Low &lt;1%, n (%)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(4.4)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Percentages based on the number of subjects in each arm with non-missing data.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Region derived from COUNTRY (NA: US/Canada; EU: 7 European countries; APAC: Japan/Korea/Australia; SA: Brazil).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PD-L1 TPS category from ADSL.PDL1CAT.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2026-07-19T18:11:19Z</dcterms:modified>
  <cp:category/>
</cp:coreProperties>
</file>