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83.1% (77.5, 87.5)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(71.9, 82.8)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(63.7, 76.0)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(46.2, 59.4)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48.9% (41.9, 55.5)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27.3% (21.5, 33.5)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32.5% (26.0, 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9.3% (5.6, 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14.9% (9.6, 21.3)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0.0% (NA, NA)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2026-07-19T18:11:24Z</dcterms:modified>
  <cp:category/>
</cp:coreProperties>
</file>