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Objective Response Rate (Investigator-Assessed)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Response Evaluable Population (N=431)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(N=219)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Response Evaluable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Confirmed Best Overall Response (CBOR)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Complete Response (CR),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Partial Response (PR),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(36.5)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(17.0)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Stable Disease (SD),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(60.8)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Progressive Disease (PD),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Not Evaluable (NE),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Objective Response Rate (CR + 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87 (39.7)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40 (18.9)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(33.2, 46.5)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(13.8, 24.8)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20.9 (12.5, 29.2)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Response Evaluable = ITT with ≥1 post-baseline tumour assessment.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Confirmed Best Overall Response (CBOR) per RECIST 1.1 — confirmation requires a second CR/PR ≥28 days after the first with no intervening PD.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for ORR by Clopper-Pearson exact method.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Cochran-Mantel-Haenszel test: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SAP §13.6 specifies BICR-assessed response; this study simulates only Investigator-assessed RS records.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datasets/adam/adrs.parquet,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2026-07-19T18:11:24Z</dcterms:modified>
  <cp:category/>
</cp:coreProperties>
</file>