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(N=87)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18.0 (15.8,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12.6 (8.0, 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(80.3, 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(64.2, 90.5)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(63.3, 82.8)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55.5% (36.8, 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51.5% (38.8, 62.8)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13.9% (3.1, 32.8)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2026-07-19T18:11:25Z</dcterms:modified>
  <cp:category/>
</cp:coreProperties>
</file>