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by Investigator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(72.4)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(87.1)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13.8 (11.1, 15.6)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7.4 (6.3, 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0.450 (0.360, 0.564)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estimand E2a — assesses concordance of Investigator read with BICR primary.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PFSINV PD dates derived from SDTM.RS records with RSEVAL='INVESTIGATOR'; primary PFS (T-EFF-03) uses RSEVAL='INDEPENDENT ASSESSOR' (BICR). BICR vs Investigator discordance is simulated at ~10%.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Cox PH; stratification factors: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PARAMCD='PFSINV'.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2026-07-19T18:11:27Z</dcterms:modified>
  <cp:category/>
</cp:coreProperties>
</file>