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duration (days)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416.0 (233.0)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324.0 (202.2)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370.1 (222.7)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314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360 (1, 738)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Number of study drug cycles received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Cumulative torivumab dose (mg)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Relative dose intensity (%) — study drug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98.3 (2.6)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 (87.5, 100.0)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(0.0, 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Treatment duration = ADSL.TRTDURD (TRTEDT − TRTSDT + 1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Cycle count = number of TORIVUMAB or PLACEBO records in ADEX PARAMCD='DOSEAMT'.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Cumulative torivumab dose = ADEX PARAMCD='CUMDOSE', AEXTRT='TORIVUMAB' (mg).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Relative dose intensity (RDI) = ADEX PARAMCD='RDI' = 100 × actual cumulative / planned cumulative dose. Planned per cycle: torivumab/placebo 200 mg; chemo per-subject mean used as planned (synthetic-data simplification).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datasets/adam/adex.parquet + datasets/adam/adsl.parquet.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2026-07-19T18:11:23Z</dcterms:modified>
  <cp:category/>
</cp:coreProperties>
</file>