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T-VS-02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Weight Change Categories — Worst On-Treatment Percent Change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with ≥1 post-baseline weight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Weight change category (worst on-treatment)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Loss ≥ 20%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Loss 10% to 20%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Loss 5% to 10%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(30.2)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significant change (±5%)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168 (75.0)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Gain 5% to 10%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Gain 10% to 20%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Gain ≥ 20%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Categories applied to per-subject worst (most extreme) post-baseline % change in weight.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Denominators = subjects with at least one post-baseline weight measurement per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datasets/adam/advs.parquet WHERE PARAMCD='WEIGHT'.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2026-07-19T18:12:39Z</dcterms:modified>
  <cp:category/>
</cp:coreProperties>
</file>