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Characteristic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Age (years)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(11.2)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&lt;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246 (54.7)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 (45.3)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Sex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Female,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257 (57.1)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Race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White,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238 (52.9)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(28.4)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(26.2)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Black or African American,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(10.2)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American Indian or Alaska Native,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Unknown,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Region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(26.7)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Europe,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210 (46.7)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Asia-Pacific,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(20.0)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South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Histology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(33.1)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ECOG performance status at baseline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0,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(22.0)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1,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(57.6)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2,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(20.4)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PD-L1 TPS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High &gt;=50%,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(31.6)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(31.3)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Medium 1-49%,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(62.7)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289 (64.2)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Low &lt;1%, n (%)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the number of subjects in each arm with non-missing data.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Region derived from COUNTRY (NA: US/Canada; EU: 7 European countries; APAC: Japan/Korea/Australia; SA: Brazil).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PD-L1 TPS category from ADSL.PDL1CAT.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2026-05-16T22:29:43Z</dcterms:modified>
  <cp:category/>
</cp:coreProperties>
</file>