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Subject Disposition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608"/>
        <w:gridCol w:w="1824"/>
        <w:gridCol w:w="1824"/>
        <w:gridCol w:w="182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randomised (ITT)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treated (Safety population)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 (99.8)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Per-Protocol population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 (99.8)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Treatment status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Completed treatment per protocol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(16.4)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(19.8)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Discontinued treatment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(76.9)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361 (80.2)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Progressive disease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(49.3)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 (62.2)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251 (55.8)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Withdrawal by subject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Physician decision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Vital status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Died on study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174 (77.3)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312 (69.3)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Percentages based on ITT N per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Discontinuation reasons from SDTM.DS (DSDECOD).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appear in only one discontinuation category (first reason).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datasets/adam/adsl.parquet, datasets/sdtm/ds.parquet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2026-05-16T22:29:44Z</dcterms:modified>
  <cp:category/>
</cp:coreProperties>
</file>