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T-DS-03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Intercurrent Events Summary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472"/>
        <w:gridCol w:w="1536"/>
        <w:gridCol w:w="1536"/>
        <w:gridCol w:w="1536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(N=450)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Treatment discontinuation (any reason)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173 (76.9)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188 (83.6)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361 (80.2)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Treatment discontinuation due to 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(17.3)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(14.2)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(15.8)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Initiation of subsequent anti-cancer 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 2 consecutive missed tumour assessments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 post-baseline tumour assessment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(4.0)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Death before first response assessment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(4.0)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Withdrawal of consent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(2.0)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Operationalises the intercurrent event taxonomy in SAP §13.3.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Subsequent anti-cancer therapy is not simulated in the synthetic CM data (counts = 0). In a real study these would come from ADCM or SDTM.CM with CMCAT='ANTI-CANCER'.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≥ 2 consecutive missed tumour assessments not directly captured in this dataset (counts = 0). Real studies derive this from ADRS gap analysis.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 subject may experience multiple IEs and appear in multiple rows.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ADSL, ADRS (PARAMCD='OVR'), SDTM.DS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2026-05-16T22:29:44Z</dcterms:modified>
  <cp:category/>
</cp:coreProperties>
</file>