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86.0% (80.7, 89.9)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(73.9, 84.5)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(69.8, 81.2)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54.1% (47.3, 60.5)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55.6% (48.6, 62.1)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30.2% (24.2, 36.5)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31.7% (25.1, 38.4)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9.1% (5.5, 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12.9% (7.8, 19.3)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1.9% (0.4, 5.7)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2026-05-16T22:29:45Z</dcterms:modified>
  <cp:category/>
</cp:coreProperties>
</file>