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this can be revisited once accrual extends.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2026-05-16T22:29:46Z</dcterms:modified>
  <cp:category/>
</cp:coreProperties>
</file>