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Sex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Race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Not reported,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Region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ECOG PS at baseline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PD-L1 TPS group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50–74%,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75%,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prior lines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 (first-line),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Descriptive: n (%) for categorical; n, mean (SD), median, min, max for continuous.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(n, mean, SD, median, 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n/mean/SD/median/min/max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 &lt; 65 / &gt;=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AGEGR1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 (Female/Male),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Ethnicity,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Histology category,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HISTSCAT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ECOG PS at baseline,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BECOG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PD-L1 TPS group,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PDL1GR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Screen failures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Randomised / ITT (N=450)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Discontinued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Withdrawal by subject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Death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Counts and percentages for each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/ ITT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EOSSTT='ONGOING'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EOSSTT='COMPLETED'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Discontinued (by reason)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EOSSTT='DISCONTINUED'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Subjects with ≥ 1 major deviation,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with ≥1 major deviation by category. Source: SDTM.DS where DSDECOD='PROTOCOL DEVIATION' AND DSSCAT='MAJOR'.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with &gt;= 1 major deviation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ADAE, ADTTE, SDTM.CM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experiencing each pre-specified IE. Supports reviewer judgement of whether the chosen IE handling strategies (§13.3) remain appropriate given observed IE frequencies.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 is not missing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DCSREAS='ADVERSE EVENT'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SDTM.CM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CMCAT='ANTI-CANCER' AND CMSTDTC &gt; 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 (requires SDTM.CM linkage; placeholder for ADCM if available)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scheduled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EVNTDESC contains 'missed'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flag derivable from PFS censoring reason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→ counted as ORR non-responder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 &lt; first_RSDT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for ORR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DCSREAS='WITHDRAWAL BY SUBJECT'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T-EX-01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Treatment duration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12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24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cycles received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Relative dose intensity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Continuous; 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 summaries computed from ADSL (TRTDURD, N_CYCLES, CUMDOSE) — no separate ADEX dataset in scope.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(months) — median (min,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median/min/max (TRTDURD/30.4375)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6 / 12 / 24 cycles,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N_CYCLES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N_CYCLES &gt;= threshold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Cumulative dose (mg)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CUMDOSE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Relative dose intensity (%) — mean (SD)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RDOSE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 (actual/planned x 100)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analysis. Triggered at ~320 OS events (event-driven, Protocol §8.1). Strata: histology (STRAT2), region (STRAT3).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survdiff(Surv(AVAL,1-CNSR)~TRT01P+strata(STRAT2,STRAT3),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T-EFF-01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survdiff(...,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(CR + 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(Wilson — sensitivity)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Best Overall Response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CI; Wilson Score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Clopper-Pearson 95% CI primary; Wilson as sensitivity row. Subjects with no post-baseline assessment counted as non-responders (§4.3).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CR+PR),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 AND AVALC IN ('CR','PR')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ORRFL='Y'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(Wilson — sensitivity)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BinomCI(x,n,method='wilson')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(MH)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CMH p-value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p.value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BOR breakdown (CR/PR/SD/PD/NE)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AVALC level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with CR + PR + SD (≥ 8 wks),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Uses DCRFL. SD requires duration ≥8 weeks from randomisation.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 (CR+PR+SD&gt;=8wks),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ANL01FL='Y' AND AVALC IN ('CR','PR','SD')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DCRFL='Y'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+ CMH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estimate, p.value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DoR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6 months,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12 months,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Median; 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  |  Estimand: E4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 formal between-arm test (hypothesis-generating).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DoR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6 months,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6*30.4375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12 months,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12*30.4375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T-EFF-08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Per-Protocol Population (N=405)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— primary OS re-run on PP population.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(PP: PPROTFL='Y')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T-EFF-09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Landmark Analysis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Difference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Landmark Survival Comparison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Difference in survival probability with 95% CI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12 months per arm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times=365.25)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24 months per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times=730.5)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Difference (Torivumab - Placebo), 95% CI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surv_diff = surv_arm1 - surv_arm2; CI via Greenwood log-log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T-EFF-10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Restricted Mean Survival Time (OS)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Estimate /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at τ = 36 months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(N=300)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(N=150)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Difference (Torivumab −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Mean Survival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  |  Estimand: E1a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36 months.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Torivumab (tau=36 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rmst2(AVAL, 1-CNSR, arm, tau=36*30.4375) -&gt; RMST arm 1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Placebo (tau=36 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RMST arm 0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Difference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unadjusted diff, lower, 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PFS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§4.2  |  Estimand: E2a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PARAMCD='PFSINV' in ADTTE.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PFS-INV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at subsequent anti-cancer therapy,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OS — WOT,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Hazard ratio (stratified Cox)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(stratified log-rank)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§13.4  |  Estimand: E1b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PARAMCD='OSWOT' in ADTTE — censors OS at min(start of subsequent anti-cancer therapy, TRTEDT + 30 days). Phase 5 ADaM gap: add OSWOT parameter to ADTTE via admiral::derive_param_tte with revised censor_conditions.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 on/within 30d of treatment),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 (incl. censored at subsequent therapy start),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OS-WOT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TRT - PBO (stratified MH)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§13.6  |  Estimand: E3a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E3a — removes implicit selection in Response Evaluable by using ITT denominator. More conservative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ORRFL='Y'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sum(ORRFL='Y') / N_ITT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(ORRFL='N' OR ORRFL is missing)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complement of responders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TRT - PBO (stratified MH)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ORRFL,TRT01PN,STRAT2,STRAT3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RD,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Clopper-Pearson 95% CI per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 by TRT01PN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Summary of AEs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serious AE (SAE)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leading to discontinuation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immune-related AE (irAE)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irAE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adverse event of special interest (AESI)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 leading to death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Exposure-Adjusted Incidence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of subjects. Final three rows are exposure-adjusted (estimand S2); rate numerator counts events, not subjects.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TRTEMFL='Y'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AETOXGRN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such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AETOXGRN = 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such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SAE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AESER='Y'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IRAEFL='Y'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-&gt;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-&gt; dose modification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AEACN IN ('DOSE REDUCED','DRUG INTERRUPTED')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Total exposure (patient-years)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sum(TRTDURD) / 365.25; TRTDURD = TRTEDT - TRTSDT + 1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TEAE events (n)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 count (rows), not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Exposure-adjusted TEAE rate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 + 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per 100 patient-years = 100 * events / sum(TRTDURD)/365.25 (M-EAIR, estimand S2)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TRTEMFL='Y'. Include PTs where incidence ≥5% in either arm. 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(header)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System Organ Class (SOC)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PT in SOC; sorted by AEBODSYS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occurrence; threshold &gt;= 5% either arm; sorted by max incidence across arms desc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(Grade ≥ 3)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 AND AETOXGR ∈ {3,4,5}.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Grade &gt;= 3 TEAE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Grade 3+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(Serious)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SAE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Immune-Related AEs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Pneumonitis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Colitis / Diarrhoea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Hepatitis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Endocrinopathies (any)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Diabetes mellitus type 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Infusion-related reaction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Other irAE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Time-to-Onset / Resolution (KM)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by category × grade; median time to onset and resolution (KM). Filtered to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 category x grade (n, 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IRAECAT x AETOXGR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onset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ASTDT - TRTSDT; KM median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resolution (months)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AEOUT IN ('RECOVERED','RESOLVED')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AENDT - ASTDT; KM median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AESIs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1 (per Protocol §7.4)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[Categories per Protocol §7.4 AESI list — to be finalised at SAP lock]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flag from sponsor AESI MedDRA PT codelist `raw/codelists/aesi_meddra_pts.csv` (56 PTs across 12 categories: Pneumonitis, Colitis, Hepatitis, Endocrine, Dermatologic, Renal, Cardiac, Neurologic, Infusion Reaction, Ocular, Hematologic, Musculoskeletal) per Protocol §7.4. Per-PT grade rule: most PTs are AESI at any grade; selected lab/symptom PTs require Grade≥3 (e.g. ALT/AST, AKI, rash, diarrhoea, pruritus); IRR requires Grade≥2.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 category x grade (n, 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AESICAT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AESICAT x AETOXGR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Within 30 days of last dose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Unknown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Deaths after data cutoff (not counted)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[Source: ADSL DTHFL='Y'; DTHCAUS]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Mixed population: on-treatment denominator = Safety; all deaths denominator = ITT (noted per row).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Within 30 days of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DTHDT-TRTEDT&lt;=30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DTHDT-TRTEDT &lt;=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DTHCAUS='DISEASE PROGRESSION'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Other / Unknown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remaining causes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Abnormalities (Shift Table)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Normal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Low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High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Table (Baseline → Worst Post-Baseline)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panel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Baseline NCI status (Normal/Low/High)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ABLFL='Y'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BNRIND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Cross-tab BNRIND x worst post-baseline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Worst post-baseline NCI status (Normal/Low/High)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ANRIND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max(ATOXGR) post-baseline -&gt;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filter (one panel per test)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= &lt;lab test&gt;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Loop over selected PARAMCDs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Alkaline Phosphatase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Bilirubin (total)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Creatinine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Sodium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Potassium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TSH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parameters...]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with ≥1 post-baseline ATOXGR ≥ 3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(PARAMCD), n (%)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ATOXGR &gt;= 3 AND ANL01FL='Y'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PARAMCD,ATOXGR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post-baseline Grade 3+ per PARAMCD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F-EFF-01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curve per TRT01P.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survival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times=seq(0,36,6)*30.4375)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F-EFF-02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F-EFF-01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PFS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times=seq(0,24,6)*30.4375)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F-EFF-03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Waterfall — Best Percent Change in SLD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Waterfall (Best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to subjects with measurable disease at baseline.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subject (sorted by best % change desc)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order by AVAL ascending (most negative = best response)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best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= (SLD_nadir - SLD_baseline) / SLD_baseline *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Bar colour by treatment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fill =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-30% (PR threshold)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geom_hline(yintercept=-30)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+20% (PD threshold)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geom_hline(yintercept=20)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F-EFF-04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Spider — SLD Change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Spider (Longitudinal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weeks from baseline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 / 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per visit (not restricted to nadir)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line per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group = USUBJID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Line colour by treatment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colour = TRT01P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F-EFF-05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Subgroup Forest (Unstratified Cox)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Per-subgroup unstratified Cox HR; overall stratified HR at top. Square size ∝ subgroup 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Per-subgroup HR + 95% CI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AVAL,CNSR,HISTSCAT,REGION1,SEX,AGEGR1,BECOG,PDL1GR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coxph(Surv(AVAL,1-CNSR)~TRT01P) per subgroup level (unstratified)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and events per subgroup level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and sum(1-CNSR) per subgroup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HR (diamond)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stratified overall (same as T-EFF-01)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log-scale HR (0.1 to 10)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scale_x_log10()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F-EFF-06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Swimmer — Responders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Swimmer Lane (Responders)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responders only.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from randomisation (months)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 - RANDDT converted to months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Lane per responder (y-axis)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horizontal bar per 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start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 IN ('CR','PR')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first response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end (PD or censored)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start + AVAL days; open arrow if censored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 event marker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AVALC='PD'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triangle marker at PD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marker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 marker at DTHDT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AEBODSYS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AENDT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AESER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AEACN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AEOUT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identifier; sort key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System Organ Class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 (ISO 8601); sort key 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end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Action taken with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 to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outcome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L-AE-02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DTHCAUS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EOSSTT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Computed columns: days from last dose to death; days from randomisation to death.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Date of death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 cause of 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 (for days-since-last-dose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Randomisation date (for OS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End-of-study status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last dose to death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TRTEDT (days)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randomisation to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DTHDT-RANDDT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RANDDT (days)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L-AE-03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AEACN='DRUG WITHDRAWN'.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L-LB-01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PARAMCD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AVISIT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ANRLO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ANRHI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ATOXGR ≥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code (e.g. ALT, HGB)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visit label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result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lower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upper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NCI CTCAE toxicity grade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L-DS-01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TRT01P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DSSTDTC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DSDECOD='PROTOCOL DEVIATION' AND DSSCAT='MAJOR'. Shows deviation category and description.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Planned treatment arm (from ADSL)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Deviation date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Standardised disposition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Subcategory (MAJOR)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Verbatim deviation description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T-CM-01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Concomitant Medications by Class and Preferred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&gt;= 5% in either arm. Class grouping from ADCM.CMINDC (curated ATC indication class).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T-VS-01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ADVS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and End of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T-VS-02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Weight Change Categories — Worst On-Treatment %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ADVS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worst (most extreme) post-baseline % weight change.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T-MH-01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ADMH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 — MHDECOD is title-case verbatim, not MedDRA-coded.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T-DV-01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ADDV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Supersedes the sparser T-DS-02 view; uses ADDV instead of raw ADSL.PPROTFL.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sectPr>
      <w:pgMar w:header="576" w:bottom="1080" w:top="1080" w:right="1152" w:left="1152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db5475978377603da76f29c68fe0bd94671a353.png"/>
<Relationship Id="rId8" Type="http://schemas.openxmlformats.org/officeDocument/2006/relationships/image" Target="media/1b876afa2c3cd95b22a47be5eed7faa73089d992.png"/>
<Relationship Id="rId9" Type="http://schemas.openxmlformats.org/officeDocument/2006/relationships/image" Target="media/9f0c4a53811382a76bb9312a626a530df62407ce.png"/>
<Relationship Id="rId10" Type="http://schemas.openxmlformats.org/officeDocument/2006/relationships/image" Target="media/93365e3f88d297c9835dc8bed83e5f3ead8d5d4a.png"/>
<Relationship Id="rId11" Type="http://schemas.openxmlformats.org/officeDocument/2006/relationships/image" Target="media/c3941e03d6b678c776b24935cea34302a7b9b87f.png"/>
<Relationship Id="rId12" Type="http://schemas.openxmlformats.org/officeDocument/2006/relationships/image" Target="media/09aa4e8a63692c3c5b74a051fa35c1ef71de66b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2026-09-20T13:10:06Z</dcterms:modified>
  <cp:category/>
</cp:coreProperties>
</file>