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Overall Survival Analysis (Primary)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Number of subjects,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Events (deaths),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(61.3)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173 (77.2)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Censored,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(38.7)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(22.8)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OS,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21.4 (19.2, 23.7)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14.8 (12.9, 16.0)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Hazard ratio (95% CI), stratified Cox PH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0.576 (0.458, 0.724)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p-value, stratified log-rank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Median OS estimated by Kaplan-Meier; 95% CI by Brookmeyer-Crowley (log-log).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Hazard ratio from stratified Cox proportional-hazards model.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Stratification factors: histology (squamous / non-squamous) and region (NA / EU / APAC / OTHER).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Primary estimand (E1): treatment policy for all intercurrent events. See SAP §13.4.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PARAMCD='OS'.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2026-05-17T08:12:42Z</dcterms:modified>
  <cp:category/>
</cp:coreProperties>
</file>