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Objective Response Rate (Investigator-Assessed)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Response Evaluable Population (N=432)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Response Evaluable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Confirmed Best Overall Response (CBOR)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 Response (CR),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Partial Response (PR),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Stable Disease (SD),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(64.2)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Progressive Disease (PD),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Not Evaluable (NE),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Objective Response Rate (CR + 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86 (39.1)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32 (15.1)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(32.6, 45.9)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(10.6, 20.6)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24.0 (15.9, 32.0)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Response Evaluable = ITT with ≥1 post-baseline tumour assessment.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Confirmed Best Overall Response (CBOR) per RECIST 1.1 — confirmation requires a second CR/PR ≥28 days after the first with no intervening PD.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for ORR by Clopper-Pearson exact method.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Cochran-Mantel-Haenszel test: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SAP §13.6 specifies BICR-assessed response; this study simulates only Investigator-assessed RS records.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datasets/adam/adrs.parquet,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2026-05-17T08:12:44Z</dcterms:modified>
  <cp:category/>
</cp:coreProperties>
</file>