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(N=118)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(N=86)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(37.2)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15.9 (12.4, 18.1)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12.8 (8.2, 14.8)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88.6% (79.2, 93.9)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(61.9, 90.8)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64.6% (52.5, 74.4)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53.4% (34.1, 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40.4% (28.1, 52.4)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21.9% (7.9, 40.3)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2026-05-17T08:12:45Z</dcterms:modified>
  <cp:category/>
</cp:coreProperties>
</file>