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this can be revisited once accrual extends.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2026-05-17T08:12:45Z</dcterms:modified>
  <cp:category/>
</cp:coreProperties>
</file>