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duration (days)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416.0 (233.0)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324.0 (202.2)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370.1 (222.7)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314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360 (1, 738)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Number of study drug cycles received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 (1.0)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Cumulative torivumab dose (mg)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Relative dose intensity (%) — study drug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98.3 (2.6)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98.2 (2.5)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 (87.5, 100.0)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 (88.3, 100.0)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Treatment duration = ADSL.TRTDURD (TRTEDT − TRTSDT + 1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Cycle count = number of TORIVUMAB or PLACEBO records in ADEX PARAMCD='DOSEAMT'.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Cumulative torivumab dose = ADEX PARAMCD='CUMDOSE', AEXTRT='TORIVUMAB' (mg).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Relative dose intensity (RDI) = ADEX PARAMCD='RDI' = 100 × actual cumulative / planned cumulative dose. Planned per cycle: torivumab/placebo 200 mg; chemo per-subject mean used as planned (synthetic-data simplification).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datasets/adam/adex.parquet + datasets/adam/adsl.parquet.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2026-05-17T08:12:44Z</dcterms:modified>
  <cp:category/>
</cp:coreProperties>
</file>