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T-LB-01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Laboratory Abnormalities — Baseline → Worst Post-Baseline Shift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472"/>
        <w:gridCol w:w="2304"/>
        <w:gridCol w:w="2304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Albumin (n with baseline + post-baseline)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220 (98.2)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Albumin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Alanine aminotransferase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222 (99.1)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Alanine aminotransferase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Aspartate aminotransferase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221 (98.7)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Aspartate aminotransferase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Bilirubin total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222 (99.1)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Bilirubin total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Creatinine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220 (98.2)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Creatinine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Haemoglobin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222 (99.1)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Haemoglobin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Potassium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Potassium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Neutrophils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223 (99.6)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Neutrophils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Platelets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221 (98.2)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222 (99.1)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Platelets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White blood cells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White blood cells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Sodium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Sodium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Sodium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Sodium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Sodium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Sodium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Sodium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Sodium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Sodium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Sodium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Sodium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Shift = baseline reference-range indicator → worst post-baseline indicator per subject per parameter.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NORMAL = within reference range; ABNORMAL = HIGH or LOW.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Section header rows show the per-arm denominator (subjects with both baseline and post-baseline values for that parameter); cell percentages use that denominator.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datasets/adam/adlb.parquet (NRIND, ABLFL).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2026-05-17T08:12:48Z</dcterms:modified>
  <cp:category/>
</cp:coreProperties>
</file>