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Immune-Related Adverse Events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 = ADAE.IRAEFL='Y' (derived from SDTM.AE.AECAT='IMMUNE-RELATED').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here corresponds to SOC; refinement to dedicated irAE categories (e.g. pneumonitis / colitis / hepatitis / thyroiditis) would require a sponsor-defined IRAECAT codelist that is not yet derived in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IRAEFL='Y'.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2026-07-19T16:40:55Z</dcterms:modified>
  <cp:category/>
</cp:coreProperties>
</file>