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Concomitant Medications by Indication Class and Preferred Term (≥5%)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Depression / anxiety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118 (52.7)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ESCITALOPRAM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(29.0)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SERTRALINE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INSULIN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METFORMIN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Hyperlipidaemia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133 (59.1)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121 (54.0)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ATORVASTATIN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SIMVASTATIN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Infection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151 (67.1)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AMOXICILLIN/CLAVULANATE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(35.1)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LEVOFLOXACIN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Nausea and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TROPISETRON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METOCLOPRAMIDE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GRANISETRON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ONDANSETRON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PEMBROLIZUMAB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DOCETAXEL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on-treatment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Class grouping uses ADCM.CMINDC (curated indication class from the ATC lookup).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On-treatment = ADCM.ONTRTFL='Y' (medication period overlaps TRTSDT..TRTEDT).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datasets/adam/adcm.parquet WHERE ONTRTFL='Y'.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2026-07-19T16:50:25Z</dcterms:modified>
  <cp:category/>
</cp:coreProperties>
</file>