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608"/>
        <w:gridCol w:w="1824"/>
        <w:gridCol w:w="1824"/>
        <w:gridCol w:w="182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randomised (ITT)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treated (Safety population)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449 (99.8)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Per-Protocol population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208 (92.4)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 (90.7)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412 (91.6)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Completed treatment per protocol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(19.8)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Discontinued treatment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(76.9)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(83.6)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361 (80.2)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Progressive disease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(49.3)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(62.2)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 (55.8)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Withdrawal by subject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Physician decision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5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Vital status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Died on study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 (77.3)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312 (69.3)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ITT N per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Discontinuation categories from ADDS.DSCATGY + ADDS.DSDECOD.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discontinuation category.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datasets/adam/adds.parquet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2026-07-19T16:40:45Z</dcterms:modified>
  <cp:category/>
</cp:coreProperties>
</file>