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T-DS-03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Intercurrent Events Summary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1536"/>
        <w:gridCol w:w="1536"/>
        <w:gridCol w:w="1536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Treatment discontinuation (any reason)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(76.9)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(83.6)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361 (80.2)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Treatment discontinuation due to 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Initiation of subsequent anti-cancer 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(32.0)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(27.1)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 (29.6)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 2 consecutive missed tumour assessments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(6.9)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post-baseline tumour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Death before first response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Withdrawal of consent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(2.0)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Operationalises the intercurrent event taxonomy in SAP §13.3.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Subsequent anti-cancer therapy: real counts from ADCM.SUBSQTFL='Y' (added 2026-05-17; raw simulator `16_subsequent_therapy.R`).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≥ 2 consecutive missed tumour assessments: detected from ADRS OVR by gaps &gt; 16 weeks against the scheduled Q6W grid (~6% subjects carry a stochastic 2-3 visit miss episode from `09_tumor_measurements.R`).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may experience multiple IEs and appear in multiple rows.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ADSL, ADRS (PARAMCD='OVR'), SDTM.DS, ADCM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2026-07-19T16:40:46Z</dcterms:modified>
  <cp:category/>
</cp:coreProperties>
</file>