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83.1% (77.5, 87.5)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77.9% (71.9, 82.8)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(63.7, 76.0)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(46.2, 59.4)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48.9% (41.9, 55.5)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27.3% (21.5, 33.5)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32.5% (26.0, 39.3)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9.3% (5.6, 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14.9% (9.6, 21.3)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0.0% (NA, NA)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2026-07-19T16:40:47Z</dcterms:modified>
  <cp:category/>
</cp:coreProperties>
</file>