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ITT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Of which: no post-baseline assessment (composite IE),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(12.8, 29.0)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(32.3, 45.4)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(13.0, 23.4)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E3a (SAP §13.6) — uses full ITT as denominator (removes implicit selection in Response Evaluable).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Composite IE strategy retained: subjects without any post-baseline tumour assessment are counted as non-responders.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 this dataset, 0 subjects have no post-baseline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test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(ITT) + adrs.parquet (CBOR).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2026-07-19T16:40:50Z</dcterms:modified>
  <cp:category/>
</cp:coreProperties>
</file>