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T-EX-01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Study Drug Exposure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896"/>
        <w:gridCol w:w="1728"/>
        <w:gridCol w:w="1728"/>
        <w:gridCol w:w="172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Treatment duration (days)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416.0 (233.0)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324.0 (202.2)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370.1 (222.7)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440 (1, 738)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314 (1, 738)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360 (1, 738)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Number of study drug cycles received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5.7 (1.0)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 (1.1)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 (1.1)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Cumulative torivumab dose (mg)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1111 (200)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1111 (200)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1200 (200, 1200)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1200 (200, 1200)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Relative dose intensity (%) — study drug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98.3 (2.6)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 (87.5, 100.0)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(0.0, 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Treatment duration = ADSL.TRTDURD (TRTEDT − TRTSDT + 1 days).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Cycle count = number of TORIVUMAB or PLACEBO records in ADEX PARAMCD='DOSEAMT'.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Cumulative torivumab dose = ADEX PARAMCD='CUMDOSE', AEXTRT='TORIVUMAB' (mg).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Relative dose intensity (RDI) = ADEX PARAMCD='RDI' = 100 × actual cumulative / planned cumulative dose. Planned per cycle: torivumab/placebo 200 mg; chemo per-subject mean used as planned (synthetic-data simplification).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datasets/adam/adex.parquet + datasets/adam/adsl.parquet.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2026-07-19T16:40:46Z</dcterms:modified>
  <cp:category/>
</cp:coreProperties>
</file>