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Grade ≥ 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443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Parameter Description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Visit 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 Units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Reference Range Indicator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Change from Baseline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ADLB records with CTCAE Grade ≥ 3 (ATOXGRN ≥ 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Parameter, Date.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WHERE ATOXGRN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2026-07-19T20:12:47Z</dcterms:modified>
  <cp:category/>
</cp:coreProperties>
</file>