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Demographic and Baseline Characteristics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920"/>
        <w:gridCol w:w="1920"/>
        <w:gridCol w:w="192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Characteristic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Age (years)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(11.2)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63.1 (10.7)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63.1 (10.9)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(45.0, 82.0)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62.0 (45.0, 82.0)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(45.0, 82.0)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&lt; 65,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246 (54.7)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≥ 65,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204 (45.3)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Sex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Female,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Male,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Race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White,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124 (55.1)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238 (52.9)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Asian,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(28.4)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(24.0)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(26.2)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Black or African American,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(10.2)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American Indian or Alaska Native,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Unknown,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Region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North America,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Europe,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Asia-Pacific,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South America,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Histology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Non-squamous,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(66.2)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152 (67.6)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(66.9)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Squamous,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(32.4)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(33.1)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ECOG performance status at baseline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0,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(22.0)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1,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(60.0)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124 (55.1)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259 (57.6)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2,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(18.2)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(20.4)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PD-L1 TPS category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High &gt;=50%,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(31.6)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(31.3)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Medium 1-49%,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(62.7)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(65.8)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289 (64.2)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Low &lt;1%, n (%)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(4.4)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Percentages based on the number of subjects in each arm with non-missing data.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Region derived from COUNTRY (NA: US/Canada; EU: 7 European countries; APAC: Japan/Korea/Australia; SA: Brazil).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PD-L1 TPS category from ADSL.PDL1CAT.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2026-07-19T20:10:39Z</dcterms:modified>
  <cp:category/>
</cp:coreProperties>
</file>