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1536"/>
        <w:gridCol w:w="1536"/>
        <w:gridCol w:w="153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(any reason)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Treatment discontinuation due to AE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Initiation of 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(27.1)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post-baseline tumour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Death before first response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Withdrawal of consent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Operationalises the intercurrent event taxonomy in SAP §13.3.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Subsequent anti-cancer therapy: real counts from ADCM.SUBSQTFL='Y' (added 2026-05-17; raw simulator `16_subsequent_therapy.R`).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≥ 2 consecutive missed tumour assessments: detected from ADRS OVR by gaps &gt; 16 weeks against the scheduled Q6W grid (~6% subjects carry a stochastic 2-3 visit miss episode from `09_tumor_measurements.R`).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experience multiple IEs and appear in multiple rows.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ADSL, ADRS (PARAMCD='OVR'), SDTM.DS, ADCM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2026-07-19T20:10:44Z</dcterms:modified>
  <cp:category/>
</cp:coreProperties>
</file>