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(Investigator-Assessed)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(N=431)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(N=219)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Confirmed Best Overall Response (CBOR)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Objective Response Rate (CR + 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(33.2, 46.5)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(13.8, 24.8)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(12.5, 29.2)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Response Evaluable = ITT with ≥1 post-baseline tumour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Best Overall Response (CBOR) per RECIST 1.1 — confirmation requires a second CR/PR ≥28 days after the first with no intervening PD.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for ORR by Clopper-Pearson exact method.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 test: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§13.6 specifies BICR-assessed response; this study simulates only Investigator-assessed RS records.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2026-07-19T20:10:48Z</dcterms:modified>
  <cp:category/>
</cp:coreProperties>
</file>