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the 6-month gap is accepted as a permanent structural limitation (AL-06 in qc/VALIDATION-PLAN.md) because lifting τ would require extending the data cutoff and re-cascading the full pipeline. Revisitable only if accrual is extended.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2026-07-19T20:10:51Z</dcterms:modified>
  <cp:category/>
</cp:coreProperties>
</file>