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by Investigator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(72.4)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(87.1)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13.8 (11.1, 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 (6.3, 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0.450 (0.360, 0.564)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Sensitivity estimand E2a — assesses concordance of Investigator read with BICR primary.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PFSINV PD dates derived from SDTM.RS records with RSEVAL='INVESTIGATOR'; primary PFS (T-EFF-03) uses RSEVAL='INDEPENDENT ASSESSOR' (BICR). BICR vs Investigator discordance is simulated at ~10%.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Cox PH; stratification factors: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PARAMCD='PFSINV'.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2026-07-19T20:10:52Z</dcterms:modified>
  <cp:category/>
</cp:coreProperties>
</file>