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T-LB-02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Laboratory CTCAE Grade ≥ 3 Worst Post-Baseline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Alanine Aminotransferase (n with post-baseline grade)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Aspartate Aminotransferase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Bilirubin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Creatinine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Hemoglobin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(30.2)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(31.2)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Neutrophils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Worst post-baseline CTCAE grade per subject per parameter.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per CTCAE v5.0 (ADLB.ATOXGRN).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Section header rows show the per-arm denominator (subjects with at least one gradeable post-baseline value for that parameter).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datasets/adam/adlb.parquet (ATOXGRN).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2026-07-19T20:11:06Z</dcterms:modified>
  <cp:category/>
</cp:coreProperties>
</file>