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T-VS-02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Weight Change Categories — Worst On-Treatment Percent Change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Safety Population with ≥1 post-baseline weight (N=449)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184"/>
        <w:gridCol w:w="2448"/>
        <w:gridCol w:w="2448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Weight change category (worst on-treatment)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Loss ≥ 20%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Loss 10% to 20%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(15.1)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(4.9)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Loss 5% to 10%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 (30.2)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 (20.1)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 significant change (±5%)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123 (54.7)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168 (75.0)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Gain 5% to 10%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Gain 10% to 20%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Gain ≥ 20%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Categories applied to per-subject worst (most extreme) post-baseline % change in weight.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Denominators = subjects with at least one post-baseline weight measurement per arm.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datasets/adam/advs.parquet WHERE PARAMCD='WEIGHT'.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2026-07-19T20:12:59Z</dcterms:modified>
  <cp:category/>
</cp:coreProperties>
</file>