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L-AE-01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Listing of Serious Adverse Events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— 253 SAE records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autofit"/>
        <w:jc w:val="start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Study Site Identifier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Subject Identifier for the Study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Actual Treatment for Period 01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Sequence Number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Reported Term for the Adverse Event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Dictionary-Derived Term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Primary System Organ Class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Standard Toxicity Grade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Start date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End date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Analysis Start Relative Day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Outcome of Adverse Event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Action Taken with Study Treatment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Treatment Emergent Analysis Flag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Immune-Related Adverse Event Flag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0026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hair loss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2022-04-23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Maculopapular 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Underactive thyroid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Itching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immune-mediated 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Immune-mediated pneumonitis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Underactive thyroid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enterocolitis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0443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thrombocytopenia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2023-12-04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2024-01-08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records with AESER='Y' from ADAE.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Sorted by Site, Subject, AE sequence.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AESER='Y'.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864" w:top="864" w:right="1008" w:left="1008" w:footer="708" w:gutter="0"/>
      <w:pgSz w:h="11909" w:w="16834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2026-07-19T22:47:09Z</dcterms:modified>
  <cp:category/>
</cp:coreProperties>
</file>