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Grade ≥ 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443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Parameter Description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Visit Name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 Units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Reference Range Indicator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Change from Baseline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ADLB records with CTCAE Grade ≥ 3 (ATOXGRN ≥ 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Parameter, Date.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WHERE ATOXGRN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2026-07-19T22:48:06Z</dcterms:modified>
  <cp:category/>
</cp:coreProperties>
</file>