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T-AE-04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Serious Adverse Events by SOC and PT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(N=449)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760"/>
        <w:gridCol w:w="2160"/>
        <w:gridCol w:w="2160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31 (13.8)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34 (15.2)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(6.2)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(6.2)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(5.8)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(5.8)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(4.5)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Endocrine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4 (1.8)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Adrenal insufficiency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Hypothyroidism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33 (14.7)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43 (19.2)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(7.1)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(9.8)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(4.9)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(2.7)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15 (6.7)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14 (6.2)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(4.5)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(4.4)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3 (1.3)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8 (3.6)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3 (1.3)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6 (2.7)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7 (3.1)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(2.7)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Pneumonitis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8 (3.6)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13 (5.8)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(4.0)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Pruritus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Rash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Serious = ADAE.AESER='Y' (sub-criteria: death, hospitalisation, life-threatening, disability, congenital anomaly, other medically important).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All SAE PTs included (no incidence cutoff).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datasets/adam/adae.parquet WHERE TRTEMFL='Y' AND AESER='Y'.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2026-07-19T22:46:55Z</dcterms:modified>
  <cp:category/>
</cp:coreProperties>
</file>