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Adverse Events of Special Interest (AESI)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Any AESI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69 (30.7)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 (9.8)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Endocrine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Neurologic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Dermatologic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AESI = pre-specified events of regulatory interest for the PD-1 inhibitor class (Protocol §7.4).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Categories driven by sponsor AESI MedDRA codelist (raw/codelists/aesi_meddra_pts.csv; 56 PTs across 12 categories).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rule per PT: most PTs are AESI at any grade; selected lab/symptom PTs require Grade&gt;=3 (e.g. ALT/AST, AKI, rash, diarrhoea, pruritus); IRR requires Grade&gt;=2.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is counted once per category regardless of multiple occurrences.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INNER JOIN raw/codelists/aesi_meddra_pts.csv.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2026-07-19T22:46:56Z</dcterms:modified>
  <cp:category/>
</cp:coreProperties>
</file>