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Characteristic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Age (years)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(11.2)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&lt;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246 (54.7)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(45.3)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Sex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Female,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Race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White,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238 (52.9)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(26.2)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Black or African American,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(10.2)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American Indian or Alaska Native,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Region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Europe,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Asia-Pacific,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South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Histology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(33.1)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ECOG performance status at baseline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0,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1,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(57.6)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2,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(20.4)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PD-L1 TPS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High &gt;=50%,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(31.6)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(31.3)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Medium 1-49%,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(62.7)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289 (64.2)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Low &lt;1%, n (%)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the number of subjects in each arm with non-missing data.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Region derived from COUNTRY (NA: US/Canada; EU: 7 European countries; APAC: Japan/Korea/Australia; SA: Brazil).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PD-L1 TPS category from ADSL.PDL1CAT.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2026-07-19T22:46:41Z</dcterms:modified>
  <cp:category/>
</cp:coreProperties>
</file>