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T-DS-03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Intercurrent Events Summary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472"/>
        <w:gridCol w:w="1536"/>
        <w:gridCol w:w="1536"/>
        <w:gridCol w:w="1536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Treatment discontinuation (any reason)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173 (76.9)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(83.6)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361 (80.2)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Treatment discontinuation due to 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(17.3)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(15.8)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Initiation of subsequent anti-cancer 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(28.0)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(26.2)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 (27.1)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 2 consecutive missed tumour assessments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(6.9)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post-baseline tumour assessment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Death before first response assessment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Withdrawal of consent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(2.0)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Operationalises the intercurrent event taxonomy in SAP §13.3.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Subsequent anti-cancer therapy: real counts from ADCM.SUBSQTFL='Y' (added 2026-05-17; raw simulator `16_subsequent_therapy.R`).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≥ 2 consecutive missed tumour assessments: detected from ADRS OVR by gaps &gt; 16 weeks against the scheduled Q6W grid (~6% subjects carry a stochastic 2-3 visit miss episode from `09_tumor_measurements.R`).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 subject may experience multiple IEs and appear in multiple rows.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ADSL, ADRS (PARAMCD='OVR'), SDTM.DS, ADCM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2026-07-19T22:46:45Z</dcterms:modified>
  <cp:category/>
</cp:coreProperties>
</file>