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3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83.1% (77.5, 87.5)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77.9% (71.9, 82.8)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70.3% (63.7, 76.0)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53.1% (46.2, 59.4)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48.9% (41.9, 55.5)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27.3% (21.5, 33.5)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32.5% (26.0, 39.3)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9.3% (5.6, 14.0)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24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14.9% (9.6, 21.3)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0.0% (NA, NA)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T-EFF-03 (primary PFS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2026-07-19T22:46:46Z</dcterms:modified>
  <cp:category/>
</cp:coreProperties>
</file>