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(N=87)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18.0 (15.8,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12.6 (8.0, 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(80.3, 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(64.2, 90.5)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(63.3, 82.8)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55.5% (36.8, 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51.5% (38.8, 62.8)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13.9% (3.1, 32.8)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2026-07-19T22:46:48Z</dcterms:modified>
  <cp:category/>
</cp:coreProperties>
</file>