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by Investigator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(72.4)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(87.1)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13.8 (11.1, 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7.4 (6.3, 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0.450 (0.360, 0.564)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estimand E2a — assesses concordance of Investigator read with BICR primary.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PFSINV PD dates derived from SDTM.RS records with RSEVAL='INVESTIGATOR'; primary PFS (T-EFF-03) uses RSEVAL='INDEPENDENT ASSESSOR' (BICR). BICR vs Investigator discordance is simulated at ~10%.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PARAMCD='PFSINV'.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2026-07-19T22:46:50Z</dcterms:modified>
  <cp:category/>
</cp:coreProperties>
</file>