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Objective Response Rate — ITT Denominator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ITT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Responders (confirmed CR/PR),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87 (38.7)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40 (17.8)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Non-responders (incl. no post-baseline assessment),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(82.2)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Of which: no post-baseline assessment (composite IE),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20.9 (12.8, 29.0)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95% CI per arm (Clopper-Pearson)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(32.3, 45.4)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(13.0, 23.4)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E3a (SAP §13.6) — uses full ITT as denominator (removes implicit selection in Response Evaluable).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Composite IE strategy retained: subjects without any post-baseline tumour assessment are counted as non-responders.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 this dataset, 0 subjects have no post-baseline assessment.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by Clopper-Pearson; stratified CMH test (histology × region).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(ITT) + adrs.parquet (CBOR).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2026-07-19T22:46:50Z</dcterms:modified>
  <cp:category/>
</cp:coreProperties>
</file>