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T-VS-01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Vital Signs — Mean Change from Baseline at Key Visits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2448"/>
        <w:gridCol w:w="244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Diastolic Blood Pressure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C1D1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 (13.1) (n=51)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 (12.7) (n=58)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C4D1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(12.6) (n=216)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 (13.2) (n=218)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EOT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-0.6 (12.8) (n=142)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 (14.1) (n=168)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Heart Rate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C1D1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2.6 (18.7) (n=51)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 (18.6) (n=58)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C4D1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-1.5 (16.2) (n=216)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-1.7 (16.3) (n=218)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EOT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-0.2 (16.5) (n=142)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-2.3 (17.2) (n=168)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Respiratory Rate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C1D1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-0.5 (3.0) (n=51)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 (2.5) (n=58)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C4D1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-0.2 (2.7) (n=216)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-0.1 (3.0) (n=218)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EOT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 (3.2) (n=142)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(2.8) (n=168)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Systolic Blood Pressure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C1D1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 (18.0) (n=51)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 (22.0) (n=58)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C4D1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 (19.7) (n=216)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 (20.2) (n=218)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EOT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 (19.6) (n=142)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 (20.6) (n=168)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Temperature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C1D1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 (0.6) (n=51)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(0.5) (n=58)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C4D1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(0.6) (n=216)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 (0.6) (n=218)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EOT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(0.5) (n=142)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(0.6) (n=168)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Weight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C1D1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 (0.1) (n=51)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-0.1 (0.1) (n=58)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C4D1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-0.5 (0.3) (n=216)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-0.4 (0.3) (n=218)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EOT — Mean (SD)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-1.8 (1.9) (n=142)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-1.4 (1.6) (n=168)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Change from baseline (ADVS.CHG) at C1D1, C4D1, End of Treatment (EOT).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Per-subject baseline = ADVS.BASE (last value with ABLFL='Y').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datasets/adam/advs.parquet.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2026-07-19T22:48:11Z</dcterms:modified>
  <cp:category/>
</cp:coreProperties>
</file>