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Weight Change Categories — Worst On-Treatment Percent Change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with ≥1 post-baseline weight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Weight change category (worst on-treatment)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≥ 20%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significant change (±5%)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(75.0)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≥ 20%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applied to per-subject worst (most extreme) post-baseline % change in weight.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Denominators = subjects with at least one post-baseline weight measurement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 WHERE PARAMCD='WEIGHT'.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2026-07-19T22:48:12Z</dcterms:modified>
  <cp:category/>
</cp:coreProperties>
</file>